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Заместитель начальника управления жилищно-коммунального хозяйства – начальник отдела развития жилищно-коммунального хозяйства.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высшее образование не ниже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специалитета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магистратуры по специальностям, направлениям подготовки «Теплоэнергетика и теплотехника»,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двух лет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Style w:val="1_633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Краткое описание д</w:t>
      </w:r>
      <w:r>
        <w:rPr>
          <w:rStyle w:val="1_633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олжностны</w:t>
      </w:r>
      <w:r>
        <w:rPr>
          <w:rStyle w:val="1_633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х</w:t>
      </w:r>
      <w:r>
        <w:rPr>
          <w:rStyle w:val="1_633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 обязанност</w:t>
      </w:r>
      <w:r>
        <w:rPr>
          <w:rStyle w:val="1_633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проектов законов и иных нормативных правовых актов в сфере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поставками топливно-энергетических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перечня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краевых целевых программ в жилищно-коммунальной сфере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подготовкой объектов ЖКХ муниципальных образований к отопительному сезону;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реализацией государственной программы Забайкальского края «Развитие жилищно-коммунального хозяйства Забайкальского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консультативной технической помощи предприятиям ЖКХ Забайкальского края в решении проблемных вопросов;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эффективным использованием сре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дств кр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аевого бюджета и объектов государственной собственности Забайкальского края для решения социально-экономических задач, обеспечиваемых коммунальным комплексом, фо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рмирование отчетности, 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уществление анализа и прогноза тенденции развития жилищно-коммунального хозяйства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мероприятий по развитию и внедрению концессионных механизмов управления коммунальной инфраструктуры;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проведение мероприятий по развитию и внедрению приборов учета потребления жилищно-коммунальных услуг;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содействия по формированию, расходованию и восстановлению аварийного запаса материально-технических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содействия по внедрению энергосберегающих технологий;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ходом проведения органами местного самоуправления технической инвентаризации объектов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проведение мониторинга реформирования отрасли ЖКХ на территории муниципальных образований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проведения мероприятий в сфере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разработке прогнозов социально-экономического развития Забайкальского края и внесение предложений к проекту краевого бюджета по вопросам ЖКХ.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3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2024-12-02T05:05:01Z</dcterms:modified>
</cp:coreProperties>
</file>